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1172" w14:textId="77777777" w:rsidR="0087624E" w:rsidRPr="00554A1C" w:rsidRDefault="0087624E" w:rsidP="0087624E">
      <w:r w:rsidRPr="00554A1C">
        <w:rPr>
          <w:rFonts w:ascii="MercuryDisplay-Roman" w:eastAsia="MercuryDisplay-Roman" w:hAnsi="MercuryDisplay-Roman" w:cs="MercuryDisplay-Roman"/>
          <w:noProof/>
          <w:color w:val="231F20"/>
        </w:rPr>
        <w:drawing>
          <wp:anchor distT="0" distB="0" distL="114300" distR="114300" simplePos="0" relativeHeight="251658240" behindDoc="0" locked="0" layoutInCell="1" allowOverlap="1" wp14:anchorId="4E7D4719" wp14:editId="713396E5">
            <wp:simplePos x="0" y="0"/>
            <wp:positionH relativeFrom="margin">
              <wp:align>center</wp:align>
            </wp:positionH>
            <wp:positionV relativeFrom="paragraph">
              <wp:posOffset>138</wp:posOffset>
            </wp:positionV>
            <wp:extent cx="1108710" cy="812800"/>
            <wp:effectExtent l="0" t="0" r="0" b="6350"/>
            <wp:wrapThrough wrapText="bothSides">
              <wp:wrapPolygon edited="0">
                <wp:start x="0" y="0"/>
                <wp:lineTo x="0" y="10125"/>
                <wp:lineTo x="2969" y="16200"/>
                <wp:lineTo x="2969" y="21263"/>
                <wp:lineTo x="21155" y="21263"/>
                <wp:lineTo x="21155" y="17719"/>
                <wp:lineTo x="18186" y="16200"/>
                <wp:lineTo x="20412" y="8100"/>
                <wp:lineTo x="18928" y="5569"/>
                <wp:lineTo x="15216" y="0"/>
                <wp:lineTo x="0" y="0"/>
              </wp:wrapPolygon>
            </wp:wrapThrough>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710" cy="812800"/>
                    </a:xfrm>
                    <a:prstGeom prst="rect">
                      <a:avLst/>
                    </a:prstGeom>
                  </pic:spPr>
                </pic:pic>
              </a:graphicData>
            </a:graphic>
            <wp14:sizeRelH relativeFrom="page">
              <wp14:pctWidth>0</wp14:pctWidth>
            </wp14:sizeRelH>
            <wp14:sizeRelV relativeFrom="page">
              <wp14:pctHeight>0</wp14:pctHeight>
            </wp14:sizeRelV>
          </wp:anchor>
        </w:drawing>
      </w:r>
    </w:p>
    <w:p w14:paraId="6390316B" w14:textId="77777777" w:rsidR="0087624E" w:rsidRPr="00554A1C" w:rsidRDefault="0087624E" w:rsidP="0087624E"/>
    <w:p w14:paraId="2DC4C6CA" w14:textId="77777777" w:rsidR="0087624E" w:rsidRPr="00554A1C" w:rsidRDefault="0087624E" w:rsidP="0087624E"/>
    <w:p w14:paraId="4DA14353" w14:textId="77777777" w:rsidR="0087624E" w:rsidRPr="00554A1C" w:rsidRDefault="0087624E" w:rsidP="0087624E">
      <w:pPr>
        <w:jc w:val="center"/>
        <w:rPr>
          <w:rFonts w:ascii="Times New Roman" w:hAnsi="Times New Roman" w:cs="Times New Roman"/>
        </w:rPr>
      </w:pPr>
    </w:p>
    <w:p w14:paraId="36D95914" w14:textId="77777777" w:rsidR="0087624E" w:rsidRPr="00554A1C" w:rsidRDefault="0087624E" w:rsidP="0087624E">
      <w:pPr>
        <w:jc w:val="center"/>
        <w:rPr>
          <w:rFonts w:ascii="Times New Roman" w:hAnsi="Times New Roman" w:cs="Times New Roman"/>
        </w:rPr>
      </w:pPr>
    </w:p>
    <w:p w14:paraId="710B02F4" w14:textId="3EA0B8AB" w:rsidR="0087624E" w:rsidRPr="00554A1C" w:rsidRDefault="0087624E" w:rsidP="0087624E">
      <w:pPr>
        <w:jc w:val="center"/>
        <w:rPr>
          <w:rFonts w:ascii="Times New Roman" w:hAnsi="Times New Roman" w:cs="Times New Roman"/>
        </w:rPr>
      </w:pPr>
      <w:r w:rsidRPr="00554A1C">
        <w:rPr>
          <w:rFonts w:ascii="Times New Roman" w:hAnsi="Times New Roman" w:cs="Times New Roman"/>
        </w:rPr>
        <w:t>Department of Hispanic Studies</w:t>
      </w:r>
    </w:p>
    <w:p w14:paraId="38A3D0A3" w14:textId="77777777" w:rsidR="0087624E" w:rsidRPr="00554A1C" w:rsidRDefault="0087624E" w:rsidP="0087624E">
      <w:pPr>
        <w:rPr>
          <w:rFonts w:ascii="Times New Roman" w:eastAsia="Times New Roman" w:hAnsi="Times New Roman" w:cs="Times New Roman"/>
          <w:b/>
          <w:bCs/>
          <w:color w:val="000000"/>
          <w:kern w:val="0"/>
          <w14:ligatures w14:val="none"/>
        </w:rPr>
      </w:pPr>
    </w:p>
    <w:p w14:paraId="172A1E97" w14:textId="77777777" w:rsidR="0087624E" w:rsidRPr="00554A1C" w:rsidRDefault="0087624E" w:rsidP="0087624E">
      <w:pPr>
        <w:rPr>
          <w:rFonts w:ascii="Times New Roman" w:eastAsia="Times New Roman" w:hAnsi="Times New Roman" w:cs="Times New Roman"/>
          <w:b/>
          <w:bCs/>
          <w:color w:val="000000"/>
          <w:kern w:val="0"/>
          <w14:ligatures w14:val="none"/>
        </w:rPr>
      </w:pPr>
    </w:p>
    <w:p w14:paraId="4B4BCF57" w14:textId="55E1B79C" w:rsidR="0087624E" w:rsidRPr="00554A1C" w:rsidRDefault="0087624E" w:rsidP="0087624E">
      <w:pPr>
        <w:rPr>
          <w:rFonts w:ascii="Times New Roman" w:eastAsia="Times New Roman" w:hAnsi="Times New Roman" w:cs="Times New Roman"/>
          <w:b/>
          <w:bCs/>
          <w:color w:val="000000"/>
          <w:kern w:val="0"/>
          <w:sz w:val="32"/>
          <w:szCs w:val="32"/>
          <w14:ligatures w14:val="none"/>
        </w:rPr>
      </w:pPr>
      <w:r w:rsidRPr="00554A1C">
        <w:rPr>
          <w:rFonts w:ascii="Times New Roman" w:eastAsia="Times New Roman" w:hAnsi="Times New Roman" w:cs="Times New Roman"/>
          <w:b/>
          <w:bCs/>
          <w:color w:val="000000"/>
          <w:kern w:val="0"/>
          <w:sz w:val="32"/>
          <w:szCs w:val="32"/>
          <w14:ligatures w14:val="none"/>
        </w:rPr>
        <w:t>Guidelines for Faculty Promotion and Tenure</w:t>
      </w:r>
    </w:p>
    <w:p w14:paraId="24EA70F6" w14:textId="77777777" w:rsidR="006215D6" w:rsidRPr="00554A1C" w:rsidRDefault="006215D6" w:rsidP="0087624E">
      <w:pPr>
        <w:rPr>
          <w:rFonts w:ascii="Times New Roman" w:eastAsia="Times New Roman" w:hAnsi="Times New Roman" w:cs="Times New Roman"/>
          <w:b/>
          <w:bCs/>
          <w:color w:val="000000"/>
          <w:kern w:val="0"/>
          <w:sz w:val="32"/>
          <w:szCs w:val="32"/>
          <w14:ligatures w14:val="none"/>
        </w:rPr>
      </w:pPr>
    </w:p>
    <w:p w14:paraId="71EBC343" w14:textId="46318162" w:rsidR="0087624E" w:rsidRPr="00554A1C" w:rsidRDefault="006215D6" w:rsidP="0087624E">
      <w:pPr>
        <w:rPr>
          <w:rFonts w:ascii="Times New Roman" w:eastAsia="Times New Roman" w:hAnsi="Times New Roman" w:cs="Times New Roman"/>
          <w:b/>
          <w:bCs/>
          <w:color w:val="000000"/>
          <w:kern w:val="0"/>
          <w:sz w:val="20"/>
          <w:szCs w:val="20"/>
          <w14:ligatures w14:val="none"/>
        </w:rPr>
      </w:pPr>
      <w:r w:rsidRPr="00554A1C">
        <w:rPr>
          <w:rFonts w:ascii="Times New Roman" w:eastAsia="Times New Roman" w:hAnsi="Times New Roman" w:cs="Times New Roman"/>
          <w:b/>
          <w:bCs/>
          <w:color w:val="000000"/>
          <w:kern w:val="0"/>
          <w:sz w:val="20"/>
          <w:szCs w:val="20"/>
          <w14:ligatures w14:val="none"/>
        </w:rPr>
        <w:t>Approved by the Faculty April 24, 2024</w:t>
      </w:r>
      <w:r w:rsidR="006322AA" w:rsidRPr="00554A1C">
        <w:rPr>
          <w:rFonts w:ascii="Times New Roman" w:eastAsia="Times New Roman" w:hAnsi="Times New Roman" w:cs="Times New Roman"/>
          <w:b/>
          <w:bCs/>
          <w:color w:val="000000"/>
          <w:kern w:val="0"/>
          <w:sz w:val="20"/>
          <w:szCs w:val="20"/>
          <w14:ligatures w14:val="none"/>
        </w:rPr>
        <w:t xml:space="preserve">; approved with revisions </w:t>
      </w:r>
      <w:r w:rsidR="005F33FF" w:rsidRPr="00554A1C">
        <w:rPr>
          <w:rFonts w:ascii="Times New Roman" w:eastAsia="Times New Roman" w:hAnsi="Times New Roman" w:cs="Times New Roman"/>
          <w:b/>
          <w:bCs/>
          <w:color w:val="000000"/>
          <w:kern w:val="0"/>
          <w:sz w:val="20"/>
          <w:szCs w:val="20"/>
          <w14:ligatures w14:val="none"/>
        </w:rPr>
        <w:t>August 28, 2024</w:t>
      </w:r>
      <w:r w:rsidR="006079A4" w:rsidRPr="00554A1C">
        <w:rPr>
          <w:rFonts w:ascii="Times New Roman" w:eastAsia="Times New Roman" w:hAnsi="Times New Roman" w:cs="Times New Roman"/>
          <w:b/>
          <w:bCs/>
          <w:color w:val="000000"/>
          <w:kern w:val="0"/>
          <w:sz w:val="20"/>
          <w:szCs w:val="20"/>
          <w14:ligatures w14:val="none"/>
        </w:rPr>
        <w:t>; approved with revisions</w:t>
      </w:r>
      <w:r w:rsidR="00A75A46" w:rsidRPr="00554A1C">
        <w:rPr>
          <w:rFonts w:ascii="Times New Roman" w:eastAsia="Times New Roman" w:hAnsi="Times New Roman" w:cs="Times New Roman"/>
          <w:b/>
          <w:bCs/>
          <w:color w:val="000000"/>
          <w:kern w:val="0"/>
          <w:sz w:val="20"/>
          <w:szCs w:val="20"/>
          <w14:ligatures w14:val="none"/>
        </w:rPr>
        <w:t xml:space="preserve"> November 20, </w:t>
      </w:r>
      <w:r w:rsidR="00FF23BB" w:rsidRPr="00554A1C">
        <w:rPr>
          <w:rFonts w:ascii="Times New Roman" w:eastAsia="Times New Roman" w:hAnsi="Times New Roman" w:cs="Times New Roman"/>
          <w:b/>
          <w:bCs/>
          <w:color w:val="000000"/>
          <w:kern w:val="0"/>
          <w:sz w:val="20"/>
          <w:szCs w:val="20"/>
          <w14:ligatures w14:val="none"/>
        </w:rPr>
        <w:t>2024.</w:t>
      </w:r>
    </w:p>
    <w:p w14:paraId="7DFEEEB3" w14:textId="77777777" w:rsidR="006215D6" w:rsidRPr="00554A1C" w:rsidRDefault="006215D6" w:rsidP="0087624E">
      <w:pPr>
        <w:rPr>
          <w:rFonts w:ascii="Times New Roman" w:eastAsia="Times New Roman" w:hAnsi="Times New Roman" w:cs="Times New Roman"/>
          <w:b/>
          <w:bCs/>
          <w:color w:val="000000"/>
          <w:kern w:val="0"/>
          <w14:ligatures w14:val="none"/>
        </w:rPr>
      </w:pPr>
    </w:p>
    <w:p w14:paraId="14A1C67F" w14:textId="77777777" w:rsidR="006215D6" w:rsidRPr="00554A1C" w:rsidRDefault="006215D6" w:rsidP="0087624E">
      <w:pPr>
        <w:rPr>
          <w:rFonts w:ascii="Times New Roman" w:eastAsia="Times New Roman" w:hAnsi="Times New Roman" w:cs="Times New Roman"/>
          <w:b/>
          <w:bCs/>
          <w:color w:val="000000"/>
          <w:kern w:val="0"/>
          <w14:ligatures w14:val="none"/>
        </w:rPr>
      </w:pPr>
    </w:p>
    <w:p w14:paraId="365E2009" w14:textId="42D581F8" w:rsidR="0087624E" w:rsidRPr="00554A1C" w:rsidRDefault="0087624E" w:rsidP="0087624E">
      <w:pPr>
        <w:rPr>
          <w:rFonts w:ascii="Times New Roman" w:eastAsia="Times New Roman" w:hAnsi="Times New Roman" w:cs="Times New Roman"/>
          <w:kern w:val="0"/>
          <w:sz w:val="28"/>
          <w:szCs w:val="28"/>
          <w14:ligatures w14:val="none"/>
        </w:rPr>
      </w:pPr>
      <w:r w:rsidRPr="00554A1C">
        <w:rPr>
          <w:rFonts w:ascii="Times New Roman" w:eastAsia="Times New Roman" w:hAnsi="Times New Roman" w:cs="Times New Roman"/>
          <w:b/>
          <w:bCs/>
          <w:color w:val="000000"/>
          <w:kern w:val="0"/>
          <w:sz w:val="28"/>
          <w:szCs w:val="28"/>
          <w14:ligatures w14:val="none"/>
        </w:rPr>
        <w:t>SPECIAL TITLE SERIES</w:t>
      </w:r>
    </w:p>
    <w:p w14:paraId="53FFD488" w14:textId="77777777" w:rsidR="0087624E" w:rsidRPr="00554A1C" w:rsidRDefault="0087624E" w:rsidP="0087624E">
      <w:pPr>
        <w:rPr>
          <w:rFonts w:ascii="Times New Roman" w:eastAsia="Times New Roman" w:hAnsi="Times New Roman" w:cs="Times New Roman"/>
          <w:kern w:val="0"/>
          <w14:ligatures w14:val="none"/>
        </w:rPr>
      </w:pPr>
    </w:p>
    <w:p w14:paraId="757D055C" w14:textId="40CAB5B6" w:rsidR="00AD59E7" w:rsidRPr="00554A1C" w:rsidRDefault="00AD59E7"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kern w:val="0"/>
          <w14:ligatures w14:val="none"/>
        </w:rPr>
        <w:t>Per AR 2-4, Special Title Series positions require a description of the position and the criteria</w:t>
      </w:r>
      <w:r w:rsidR="00FF774F" w:rsidRPr="00554A1C">
        <w:rPr>
          <w:rFonts w:ascii="Times New Roman" w:eastAsia="Times New Roman" w:hAnsi="Times New Roman" w:cs="Times New Roman"/>
          <w:kern w:val="0"/>
          <w14:ligatures w14:val="none"/>
        </w:rPr>
        <w:t xml:space="preserve"> for appointment, reappointment, promotion, and the granting</w:t>
      </w:r>
      <w:r w:rsidR="000B1870" w:rsidRPr="00554A1C">
        <w:rPr>
          <w:rFonts w:ascii="Times New Roman" w:eastAsia="Times New Roman" w:hAnsi="Times New Roman" w:cs="Times New Roman"/>
          <w:kern w:val="0"/>
          <w14:ligatures w14:val="none"/>
        </w:rPr>
        <w:t xml:space="preserve"> of tenure. These should be consulted and adhered</w:t>
      </w:r>
      <w:r w:rsidR="008C754B" w:rsidRPr="00554A1C">
        <w:rPr>
          <w:rFonts w:ascii="Times New Roman" w:eastAsia="Times New Roman" w:hAnsi="Times New Roman" w:cs="Times New Roman"/>
          <w:kern w:val="0"/>
          <w14:ligatures w14:val="none"/>
        </w:rPr>
        <w:t xml:space="preserve"> to when evaluating STS faculty for promotion and tenure</w:t>
      </w:r>
      <w:r w:rsidR="005F2055" w:rsidRPr="00554A1C">
        <w:rPr>
          <w:rFonts w:ascii="Times New Roman" w:eastAsia="Times New Roman" w:hAnsi="Times New Roman" w:cs="Times New Roman"/>
          <w:kern w:val="0"/>
          <w14:ligatures w14:val="none"/>
        </w:rPr>
        <w:t xml:space="preserve"> in the department.</w:t>
      </w:r>
    </w:p>
    <w:p w14:paraId="420545D1" w14:textId="77777777" w:rsidR="00AD59E7" w:rsidRPr="00554A1C" w:rsidRDefault="00AD59E7" w:rsidP="0087624E">
      <w:pPr>
        <w:rPr>
          <w:rFonts w:ascii="Times New Roman" w:eastAsia="Times New Roman" w:hAnsi="Times New Roman" w:cs="Times New Roman"/>
          <w:color w:val="000000"/>
          <w:kern w:val="0"/>
          <w14:ligatures w14:val="none"/>
        </w:rPr>
      </w:pPr>
    </w:p>
    <w:p w14:paraId="18894864" w14:textId="0BA7DE3B"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Special Title Series Faculty in the Department of Hispanic Studies are faculty members who specialize in teaching, pedagogy, and curricular development. Depending on the faculty member’s subfield and professional interests, in addition to teaching, a percentage of the DOE can be assigned to Professional Development and/or Research, Service, and Administration. Faculty evaluation for promotion and tenure will be based upon the following elements according to the faculty member’s DOE: </w:t>
      </w:r>
    </w:p>
    <w:p w14:paraId="65AAD5C7" w14:textId="77777777" w:rsidR="0087624E" w:rsidRPr="00554A1C" w:rsidRDefault="0087624E" w:rsidP="0087624E">
      <w:pPr>
        <w:rPr>
          <w:rFonts w:ascii="Times New Roman" w:eastAsia="Times New Roman" w:hAnsi="Times New Roman" w:cs="Times New Roman"/>
          <w:kern w:val="0"/>
          <w14:ligatures w14:val="none"/>
        </w:rPr>
      </w:pPr>
    </w:p>
    <w:p w14:paraId="65D82EFF"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a continuing record of high-quality, effective teaching and advising at multiple levels of instruction, </w:t>
      </w:r>
    </w:p>
    <w:p w14:paraId="318FE892"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substantive, demonstrated commitment to pedagogical innovation and curricular development,</w:t>
      </w:r>
    </w:p>
    <w:p w14:paraId="78D9ED25"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sustained professional development and/or research,</w:t>
      </w:r>
    </w:p>
    <w:p w14:paraId="4C3BF83E" w14:textId="73F45CB5" w:rsidR="0087624E" w:rsidRPr="00554A1C" w:rsidRDefault="0087624E" w:rsidP="00554A1C">
      <w:pPr>
        <w:ind w:firstLine="709"/>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d) effective service and/or administration</w:t>
      </w:r>
      <w:r w:rsidR="0071116D" w:rsidRPr="00554A1C">
        <w:rPr>
          <w:rFonts w:ascii="Times New Roman" w:eastAsia="Times New Roman" w:hAnsi="Times New Roman" w:cs="Times New Roman"/>
          <w:color w:val="000000"/>
          <w:kern w:val="0"/>
          <w14:ligatures w14:val="none"/>
        </w:rPr>
        <w:t>.</w:t>
      </w:r>
    </w:p>
    <w:p w14:paraId="33AF3732"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For administrative regulations related to criteria for tenure and promotion, please consult: </w:t>
      </w:r>
    </w:p>
    <w:p w14:paraId="63E53661"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AR2:4 Appointment, Reappointment, Promotion, and the Granting of Tenure in the Special Title Series: </w:t>
      </w:r>
      <w:hyperlink r:id="rId8" w:history="1">
        <w:r w:rsidRPr="00554A1C">
          <w:rPr>
            <w:rFonts w:ascii="Times New Roman" w:eastAsia="Times New Roman" w:hAnsi="Times New Roman" w:cs="Times New Roman"/>
            <w:color w:val="1155CC"/>
            <w:kern w:val="0"/>
            <w:u w:val="single"/>
            <w14:ligatures w14:val="none"/>
          </w:rPr>
          <w:t>https://regs.uky.edu/administrative-regulation/ar-24</w:t>
        </w:r>
      </w:hyperlink>
      <w:r w:rsidRPr="00554A1C">
        <w:rPr>
          <w:rFonts w:ascii="Times New Roman" w:eastAsia="Times New Roman" w:hAnsi="Times New Roman" w:cs="Times New Roman"/>
          <w:color w:val="000000"/>
          <w:kern w:val="0"/>
          <w14:ligatures w14:val="none"/>
        </w:rPr>
        <w:t>.</w:t>
      </w:r>
    </w:p>
    <w:p w14:paraId="6B64106F" w14:textId="77777777" w:rsidR="0087624E" w:rsidRPr="00554A1C" w:rsidRDefault="0087624E" w:rsidP="0087624E">
      <w:pPr>
        <w:spacing w:after="240"/>
        <w:rPr>
          <w:rFonts w:ascii="Times New Roman" w:eastAsia="Times New Roman" w:hAnsi="Times New Roman" w:cs="Times New Roman"/>
          <w:kern w:val="0"/>
          <w14:ligatures w14:val="none"/>
        </w:rPr>
      </w:pPr>
    </w:p>
    <w:p w14:paraId="78D7736C"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i/>
          <w:iCs/>
          <w:color w:val="000000"/>
          <w:kern w:val="0"/>
          <w14:ligatures w14:val="none"/>
        </w:rPr>
        <w:t>PROMOTION TO ASSOCIATE PROFESSOR </w:t>
      </w:r>
    </w:p>
    <w:p w14:paraId="7C73F53C" w14:textId="77777777" w:rsidR="0087624E" w:rsidRPr="00554A1C" w:rsidRDefault="0087624E" w:rsidP="0087624E">
      <w:pPr>
        <w:rPr>
          <w:rFonts w:ascii="Times New Roman" w:eastAsia="Times New Roman" w:hAnsi="Times New Roman" w:cs="Times New Roman"/>
          <w:kern w:val="0"/>
          <w14:ligatures w14:val="none"/>
        </w:rPr>
      </w:pPr>
    </w:p>
    <w:p w14:paraId="0793FA82"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Teaching </w:t>
      </w:r>
    </w:p>
    <w:p w14:paraId="52FDFC81"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When considering a faculty member’s teaching performance, teaching effectiveness should be evaluated based on a variety of factors such as, but not limited </w:t>
      </w:r>
      <w:proofErr w:type="gramStart"/>
      <w:r w:rsidRPr="00554A1C">
        <w:rPr>
          <w:rFonts w:ascii="Times New Roman" w:eastAsia="Times New Roman" w:hAnsi="Times New Roman" w:cs="Times New Roman"/>
          <w:color w:val="000000"/>
          <w:kern w:val="0"/>
          <w14:ligatures w14:val="none"/>
        </w:rPr>
        <w:t>to:</w:t>
      </w:r>
      <w:proofErr w:type="gramEnd"/>
      <w:r w:rsidRPr="00554A1C">
        <w:rPr>
          <w:rFonts w:ascii="Times New Roman" w:eastAsia="Times New Roman" w:hAnsi="Times New Roman" w:cs="Times New Roman"/>
          <w:color w:val="000000"/>
          <w:kern w:val="0"/>
          <w14:ligatures w14:val="none"/>
        </w:rPr>
        <w:t xml:space="preserve"> teacher course evaluations, teaching portfolio, course observations, syllabi, and other evidence of in-class performance provided by the faculty member.</w:t>
      </w:r>
    </w:p>
    <w:p w14:paraId="74CCD24D" w14:textId="77777777" w:rsidR="0087624E" w:rsidRPr="00554A1C" w:rsidRDefault="0087624E" w:rsidP="0087624E">
      <w:pPr>
        <w:rPr>
          <w:rFonts w:ascii="Times New Roman" w:eastAsia="Times New Roman" w:hAnsi="Times New Roman" w:cs="Times New Roman"/>
          <w:kern w:val="0"/>
          <w14:ligatures w14:val="none"/>
        </w:rPr>
      </w:pPr>
    </w:p>
    <w:p w14:paraId="70ACD452"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lastRenderedPageBreak/>
        <w:t>Faculty should demonstrate achievements in teaching through activities such as, but not limited to, the following:</w:t>
      </w:r>
    </w:p>
    <w:p w14:paraId="315A53D6"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developing and teaching new courses</w:t>
      </w:r>
    </w:p>
    <w:p w14:paraId="714F10EE"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direction of independent studies courses and internships</w:t>
      </w:r>
    </w:p>
    <w:p w14:paraId="014972A6"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facilitating Honors Course Agreements in existing SPA classes </w:t>
      </w:r>
    </w:p>
    <w:p w14:paraId="79C00B44"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d) mentoring activities in recognized university-wide programs, such as theses for the Honors College or Gaines Fellows, or Chelgren Fellows </w:t>
      </w:r>
    </w:p>
    <w:p w14:paraId="577D1C0D"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 teaching courses required for UK Core</w:t>
      </w:r>
    </w:p>
    <w:p w14:paraId="75A9F6C3"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f) coordinating multi-section courses, for which they impart pedagogical guidance to instructors and section leaders, and for which they design the syllabi and/or supervise the creation of examinations </w:t>
      </w:r>
    </w:p>
    <w:p w14:paraId="146C8117" w14:textId="23B5054E"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g) </w:t>
      </w:r>
      <w:r w:rsidR="00264DF7" w:rsidRPr="00554A1C">
        <w:rPr>
          <w:rFonts w:ascii="Times New Roman" w:eastAsia="Times New Roman" w:hAnsi="Times New Roman" w:cs="Times New Roman"/>
          <w:color w:val="000000"/>
          <w:kern w:val="0"/>
          <w14:ligatures w14:val="none"/>
        </w:rPr>
        <w:t>coordination and support of graduate teaching assistants</w:t>
      </w:r>
      <w:r w:rsidRPr="00554A1C">
        <w:rPr>
          <w:rFonts w:ascii="Times New Roman" w:eastAsia="Times New Roman" w:hAnsi="Times New Roman" w:cs="Times New Roman"/>
          <w:color w:val="000000"/>
          <w:kern w:val="0"/>
          <w14:ligatures w14:val="none"/>
        </w:rPr>
        <w:t> </w:t>
      </w:r>
    </w:p>
    <w:p w14:paraId="21A11890"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h) introducing and implementing novel teaching techniques or instructional technology into the undergraduate program</w:t>
      </w:r>
    </w:p>
    <w:p w14:paraId="3C38118C"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i) supporting undergraduate students in presenting their research at regional, national or international conferences </w:t>
      </w:r>
    </w:p>
    <w:p w14:paraId="4E05FB67"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j) other related pedagogical activities that enhance the candidate’s teaching at the undergraduate or graduate level</w:t>
      </w:r>
    </w:p>
    <w:p w14:paraId="568A8C90" w14:textId="328A649F" w:rsidR="0087624E" w:rsidRPr="00554A1C" w:rsidRDefault="004C2205" w:rsidP="0087624E">
      <w:pPr>
        <w:ind w:left="720"/>
        <w:rPr>
          <w:rFonts w:ascii="Times New Roman" w:eastAsia="Times New Roman" w:hAnsi="Times New Roman" w:cs="Times New Roman"/>
          <w:color w:val="000000"/>
          <w:kern w:val="0"/>
          <w14:ligatures w14:val="none"/>
        </w:rPr>
      </w:pPr>
      <w:r w:rsidRPr="00554A1C">
        <w:rPr>
          <w:rFonts w:ascii="Times New Roman" w:eastAsia="Times New Roman" w:hAnsi="Times New Roman" w:cs="Times New Roman"/>
          <w:color w:val="000000"/>
          <w:kern w:val="0"/>
          <w14:ligatures w14:val="none"/>
        </w:rPr>
        <w:t>k</w:t>
      </w:r>
      <w:r w:rsidR="0087624E" w:rsidRPr="00554A1C">
        <w:rPr>
          <w:rFonts w:ascii="Times New Roman" w:eastAsia="Times New Roman" w:hAnsi="Times New Roman" w:cs="Times New Roman"/>
          <w:color w:val="000000"/>
          <w:kern w:val="0"/>
          <w14:ligatures w14:val="none"/>
        </w:rPr>
        <w:t>) advising undergraduate students and collaboration with college and university advising programs</w:t>
      </w:r>
    </w:p>
    <w:p w14:paraId="51A38977" w14:textId="54F26508" w:rsidR="00761777" w:rsidRPr="00554A1C" w:rsidRDefault="00761777" w:rsidP="00761777">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kern w:val="0"/>
          <w14:ligatures w14:val="none"/>
        </w:rPr>
        <w:t xml:space="preserve">l) receiving awards recognizing </w:t>
      </w:r>
      <w:r w:rsidR="00166C9A" w:rsidRPr="00554A1C">
        <w:rPr>
          <w:rFonts w:ascii="Times New Roman" w:eastAsia="Times New Roman" w:hAnsi="Times New Roman" w:cs="Times New Roman"/>
          <w:kern w:val="0"/>
          <w14:ligatures w14:val="none"/>
        </w:rPr>
        <w:t>teaching</w:t>
      </w:r>
      <w:r w:rsidRPr="00554A1C">
        <w:rPr>
          <w:rFonts w:ascii="Times New Roman" w:eastAsia="Times New Roman" w:hAnsi="Times New Roman" w:cs="Times New Roman"/>
          <w:kern w:val="0"/>
          <w14:ligatures w14:val="none"/>
        </w:rPr>
        <w:t xml:space="preserve"> achievement</w:t>
      </w:r>
    </w:p>
    <w:p w14:paraId="1D4A3B38" w14:textId="77777777" w:rsidR="00761777" w:rsidRPr="00554A1C" w:rsidRDefault="00761777" w:rsidP="0087624E">
      <w:pPr>
        <w:ind w:left="720"/>
        <w:rPr>
          <w:rFonts w:ascii="Times New Roman" w:eastAsia="Times New Roman" w:hAnsi="Times New Roman" w:cs="Times New Roman"/>
          <w:kern w:val="0"/>
          <w14:ligatures w14:val="none"/>
        </w:rPr>
      </w:pPr>
    </w:p>
    <w:p w14:paraId="1C3F4A9B" w14:textId="7F0CB8C2" w:rsidR="0087624E" w:rsidRPr="00554A1C" w:rsidRDefault="0087624E" w:rsidP="0087624E">
      <w:pPr>
        <w:spacing w:after="240"/>
        <w:rPr>
          <w:rFonts w:ascii="Times New Roman" w:eastAsia="Times New Roman" w:hAnsi="Times New Roman" w:cs="Times New Roman"/>
          <w:kern w:val="0"/>
          <w14:ligatures w14:val="none"/>
        </w:rPr>
      </w:pPr>
    </w:p>
    <w:p w14:paraId="431DCB10"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Professional Development and/or Research </w:t>
      </w:r>
    </w:p>
    <w:p w14:paraId="69040BD6"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Depending on the candidate’s DOE, Professional Development and/or Research may be also part of the evaluation criteria for promotion. Based on the percentage assigned to Professional Development and/or Research, Assistant Professors should demonstrate achievement in professional development and/or an active and sustained research agenda through activities such as, but not limited to, the following:</w:t>
      </w:r>
    </w:p>
    <w:p w14:paraId="5B470794"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presenting at scholarly or professional conferences </w:t>
      </w:r>
    </w:p>
    <w:p w14:paraId="4EFA95C0"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regular attendance and active engagement in teaching workshops and conferences</w:t>
      </w:r>
    </w:p>
    <w:p w14:paraId="7E4FD08C"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on-going and active participation in related professional or community organizations</w:t>
      </w:r>
    </w:p>
    <w:p w14:paraId="570076FB" w14:textId="71CC764E"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d) authoring or co-authoring books, textbooks, </w:t>
      </w:r>
      <w:r w:rsidR="004C2205" w:rsidRPr="00554A1C">
        <w:rPr>
          <w:rFonts w:ascii="Times New Roman" w:eastAsia="Times New Roman" w:hAnsi="Times New Roman" w:cs="Times New Roman"/>
          <w:color w:val="000000"/>
          <w:kern w:val="0"/>
          <w14:ligatures w14:val="none"/>
        </w:rPr>
        <w:t>articles,</w:t>
      </w:r>
      <w:r w:rsidRPr="00554A1C">
        <w:rPr>
          <w:rFonts w:ascii="Times New Roman" w:eastAsia="Times New Roman" w:hAnsi="Times New Roman" w:cs="Times New Roman"/>
          <w:color w:val="000000"/>
          <w:kern w:val="0"/>
          <w14:ligatures w14:val="none"/>
        </w:rPr>
        <w:t xml:space="preserve"> or substantive digital projects</w:t>
      </w:r>
    </w:p>
    <w:p w14:paraId="47E15938"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 editing or co-editing books or special journal issues</w:t>
      </w:r>
    </w:p>
    <w:p w14:paraId="2B28919C" w14:textId="77777777" w:rsidR="0087624E" w:rsidRPr="00554A1C" w:rsidRDefault="0087624E" w:rsidP="004C2205">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f) securing and managing grants or fellowships to support research or professional activities</w:t>
      </w:r>
    </w:p>
    <w:p w14:paraId="4E66E676"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g) receiving awards recognizing research or professional achievement</w:t>
      </w:r>
    </w:p>
    <w:p w14:paraId="5CA42012"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h) leading workshops for professional or community organizations</w:t>
      </w:r>
    </w:p>
    <w:p w14:paraId="1F6F3F43"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i) delivering guest lectures or invited talks</w:t>
      </w:r>
    </w:p>
    <w:p w14:paraId="09DAB653" w14:textId="77777777" w:rsidR="0087624E" w:rsidRPr="00554A1C" w:rsidRDefault="0087624E" w:rsidP="0087624E">
      <w:pPr>
        <w:ind w:left="720"/>
        <w:rPr>
          <w:rFonts w:ascii="Times New Roman" w:eastAsia="Times New Roman" w:hAnsi="Times New Roman" w:cs="Times New Roman"/>
          <w:color w:val="000000"/>
          <w:kern w:val="0"/>
          <w14:ligatures w14:val="none"/>
        </w:rPr>
      </w:pPr>
      <w:r w:rsidRPr="00554A1C">
        <w:rPr>
          <w:rFonts w:ascii="Times New Roman" w:eastAsia="Times New Roman" w:hAnsi="Times New Roman" w:cs="Times New Roman"/>
          <w:color w:val="000000"/>
          <w:kern w:val="0"/>
          <w14:ligatures w14:val="none"/>
        </w:rPr>
        <w:t>j) publishing translations, interviews, instructional design materials, or similar related professional or scholarly-content publications</w:t>
      </w:r>
    </w:p>
    <w:p w14:paraId="5EC6475C" w14:textId="5001EE07" w:rsidR="00384129" w:rsidRPr="00554A1C" w:rsidRDefault="00384129" w:rsidP="00554A1C">
      <w:pPr>
        <w:pStyle w:val="ListParagraph"/>
        <w:numPr>
          <w:ilvl w:val="0"/>
          <w:numId w:val="2"/>
        </w:numPr>
        <w:ind w:left="990" w:hanging="27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evidence of r</w:t>
      </w:r>
      <w:r w:rsidR="00F33D79" w:rsidRPr="00554A1C">
        <w:rPr>
          <w:rFonts w:ascii="Times New Roman" w:eastAsia="Times New Roman" w:hAnsi="Times New Roman" w:cs="Times New Roman"/>
          <w:color w:val="000000"/>
          <w:kern w:val="0"/>
          <w14:ligatures w14:val="none"/>
        </w:rPr>
        <w:t>egional</w:t>
      </w:r>
      <w:r w:rsidR="00657AF1" w:rsidRPr="00554A1C">
        <w:rPr>
          <w:rFonts w:ascii="Times New Roman" w:eastAsia="Times New Roman" w:hAnsi="Times New Roman" w:cs="Times New Roman"/>
          <w:color w:val="000000"/>
          <w:kern w:val="0"/>
          <w14:ligatures w14:val="none"/>
        </w:rPr>
        <w:t xml:space="preserve"> and/or</w:t>
      </w:r>
      <w:r w:rsidR="00F33D79" w:rsidRPr="00554A1C">
        <w:rPr>
          <w:rFonts w:ascii="Times New Roman" w:eastAsia="Times New Roman" w:hAnsi="Times New Roman" w:cs="Times New Roman"/>
          <w:color w:val="000000"/>
          <w:kern w:val="0"/>
          <w14:ligatures w14:val="none"/>
        </w:rPr>
        <w:t xml:space="preserve"> </w:t>
      </w:r>
      <w:r w:rsidRPr="00554A1C">
        <w:rPr>
          <w:rFonts w:ascii="Times New Roman" w:eastAsia="Times New Roman" w:hAnsi="Times New Roman" w:cs="Times New Roman"/>
          <w:color w:val="000000"/>
          <w:kern w:val="0"/>
          <w14:ligatures w14:val="none"/>
        </w:rPr>
        <w:t>national</w:t>
      </w:r>
      <w:r w:rsidR="00142BD7" w:rsidRPr="00554A1C">
        <w:rPr>
          <w:rFonts w:ascii="Times New Roman" w:eastAsia="Times New Roman" w:hAnsi="Times New Roman" w:cs="Times New Roman"/>
          <w:color w:val="000000"/>
          <w:kern w:val="0"/>
          <w14:ligatures w14:val="none"/>
        </w:rPr>
        <w:t xml:space="preserve"> </w:t>
      </w:r>
      <w:r w:rsidRPr="00554A1C">
        <w:rPr>
          <w:rFonts w:ascii="Times New Roman" w:eastAsia="Times New Roman" w:hAnsi="Times New Roman" w:cs="Times New Roman"/>
          <w:color w:val="000000"/>
          <w:kern w:val="0"/>
          <w14:ligatures w14:val="none"/>
        </w:rPr>
        <w:t>recognition</w:t>
      </w:r>
      <w:r w:rsidR="00DB68F5" w:rsidRPr="00554A1C">
        <w:rPr>
          <w:rFonts w:ascii="Times New Roman" w:eastAsia="Times New Roman" w:hAnsi="Times New Roman" w:cs="Times New Roman"/>
          <w:color w:val="000000"/>
          <w:kern w:val="0"/>
          <w14:ligatures w14:val="none"/>
        </w:rPr>
        <w:t xml:space="preserve"> in the field</w:t>
      </w:r>
      <w:r w:rsidRPr="00554A1C">
        <w:rPr>
          <w:rFonts w:ascii="Times New Roman" w:eastAsia="Times New Roman" w:hAnsi="Times New Roman" w:cs="Times New Roman"/>
          <w:color w:val="000000"/>
          <w:kern w:val="0"/>
          <w14:ligatures w14:val="none"/>
        </w:rPr>
        <w:t>.</w:t>
      </w:r>
    </w:p>
    <w:p w14:paraId="451474F9" w14:textId="77777777" w:rsidR="0071116D" w:rsidRPr="00554A1C" w:rsidRDefault="0071116D" w:rsidP="00554A1C">
      <w:pPr>
        <w:pStyle w:val="ListParagraph"/>
        <w:ind w:left="1080"/>
        <w:rPr>
          <w:rFonts w:ascii="Times New Roman" w:eastAsia="Times New Roman" w:hAnsi="Times New Roman" w:cs="Times New Roman"/>
          <w:kern w:val="0"/>
          <w14:ligatures w14:val="none"/>
        </w:rPr>
      </w:pPr>
    </w:p>
    <w:p w14:paraId="26913E7C" w14:textId="77777777" w:rsidR="0087624E" w:rsidRPr="00554A1C" w:rsidRDefault="0087624E" w:rsidP="0087624E">
      <w:pPr>
        <w:rPr>
          <w:rFonts w:ascii="Times New Roman" w:eastAsia="Times New Roman" w:hAnsi="Times New Roman" w:cs="Times New Roman"/>
          <w:kern w:val="0"/>
          <w14:ligatures w14:val="none"/>
        </w:rPr>
      </w:pPr>
    </w:p>
    <w:p w14:paraId="2D16D498"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Service </w:t>
      </w:r>
    </w:p>
    <w:p w14:paraId="5FE691E0"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lastRenderedPageBreak/>
        <w:t>All faculty members are expected to perform significant service tasks that ensure the smooth operation and continued advancement of the department. Further, their service performance should increase the department’s visibility and collegial presence in all matters affecting the teaching mission of the university community.  Although the service responsibilities assigned to Assistant Professors are generally modest, it is required that all faculty members contribute conscientiously to the collective growth and development of the department, College and University in the following ways:</w:t>
      </w:r>
    </w:p>
    <w:p w14:paraId="2B77233B"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serving on at least two departmental committees</w:t>
      </w:r>
    </w:p>
    <w:p w14:paraId="148F54A5"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assisting in the promotion and growth of the undergraduate Spanish program</w:t>
      </w:r>
    </w:p>
    <w:p w14:paraId="59AEF8FC"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participating in other university programs, discipline-related activities, and/or community engagement initiatives </w:t>
      </w:r>
    </w:p>
    <w:p w14:paraId="2892BA7C" w14:textId="77777777" w:rsidR="0087624E" w:rsidRPr="00554A1C" w:rsidRDefault="0087624E" w:rsidP="0087624E">
      <w:pPr>
        <w:rPr>
          <w:rFonts w:ascii="Times New Roman" w:eastAsia="Times New Roman" w:hAnsi="Times New Roman" w:cs="Times New Roman"/>
          <w:kern w:val="0"/>
          <w14:ligatures w14:val="none"/>
        </w:rPr>
      </w:pPr>
    </w:p>
    <w:p w14:paraId="2008DFD8"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Administration</w:t>
      </w:r>
    </w:p>
    <w:p w14:paraId="0F802F2C" w14:textId="5446EC93"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When the faculty DOE includes an </w:t>
      </w:r>
      <w:r w:rsidR="004C2205" w:rsidRPr="00554A1C">
        <w:rPr>
          <w:rFonts w:ascii="Times New Roman" w:eastAsia="Times New Roman" w:hAnsi="Times New Roman" w:cs="Times New Roman"/>
          <w:color w:val="000000"/>
          <w:kern w:val="0"/>
          <w14:ligatures w14:val="none"/>
        </w:rPr>
        <w:t>administrative</w:t>
      </w:r>
      <w:r w:rsidRPr="00554A1C">
        <w:rPr>
          <w:rFonts w:ascii="Times New Roman" w:eastAsia="Times New Roman" w:hAnsi="Times New Roman" w:cs="Times New Roman"/>
          <w:color w:val="000000"/>
          <w:kern w:val="0"/>
          <w14:ligatures w14:val="none"/>
        </w:rPr>
        <w:t xml:space="preserve"> appointment assigned by the Dean’s office, candidates should be assessed based on the role and function of their unique administrative role. Candidates for promotion to Associate Professor who are assigned an administrative role</w:t>
      </w:r>
      <w:r w:rsidR="006E53CA" w:rsidRPr="00554A1C">
        <w:rPr>
          <w:rFonts w:ascii="Times New Roman" w:eastAsia="Times New Roman" w:hAnsi="Times New Roman" w:cs="Times New Roman"/>
          <w:color w:val="000000"/>
          <w:kern w:val="0"/>
          <w14:ligatures w14:val="none"/>
        </w:rPr>
        <w:t xml:space="preserve"> within the department</w:t>
      </w:r>
      <w:r w:rsidRPr="00554A1C">
        <w:rPr>
          <w:rFonts w:ascii="Times New Roman" w:eastAsia="Times New Roman" w:hAnsi="Times New Roman" w:cs="Times New Roman"/>
          <w:color w:val="000000"/>
          <w:kern w:val="0"/>
          <w14:ligatures w14:val="none"/>
        </w:rPr>
        <w:t xml:space="preserve"> should provide tangible evidence of sustained and effective administrative work that supports the mission and function of the department through activities such as, but not limited to, the following:</w:t>
      </w:r>
    </w:p>
    <w:p w14:paraId="439E6C52" w14:textId="77777777" w:rsidR="0087624E" w:rsidRPr="00554A1C" w:rsidRDefault="0087624E" w:rsidP="0087624E">
      <w:pPr>
        <w:rPr>
          <w:rFonts w:ascii="Times New Roman" w:eastAsia="Times New Roman" w:hAnsi="Times New Roman" w:cs="Times New Roman"/>
          <w:kern w:val="0"/>
          <w14:ligatures w14:val="none"/>
        </w:rPr>
      </w:pPr>
    </w:p>
    <w:p w14:paraId="2FAE6E9D"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supervision and pedagogical development of instructors and courses at the undergraduate level</w:t>
      </w:r>
    </w:p>
    <w:p w14:paraId="51D65B4B"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training and assessment of Teaching Assistants and Part Time Instructors</w:t>
      </w:r>
    </w:p>
    <w:p w14:paraId="2779396B"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implementation of program level assessments</w:t>
      </w:r>
    </w:p>
    <w:p w14:paraId="709C8A4C"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d) scheduling of courses and teaching assignments</w:t>
      </w:r>
    </w:p>
    <w:p w14:paraId="407269F0"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 collaboration and outreach to the college, university, and community at large</w:t>
      </w:r>
    </w:p>
    <w:p w14:paraId="0056FE6C" w14:textId="77777777" w:rsidR="0087624E" w:rsidRPr="00554A1C" w:rsidRDefault="0087624E" w:rsidP="0087624E">
      <w:pPr>
        <w:rPr>
          <w:rFonts w:ascii="Times New Roman" w:eastAsia="Times New Roman" w:hAnsi="Times New Roman" w:cs="Times New Roman"/>
          <w:kern w:val="0"/>
          <w14:ligatures w14:val="none"/>
        </w:rPr>
      </w:pPr>
    </w:p>
    <w:p w14:paraId="3EC63720" w14:textId="77777777" w:rsidR="0087624E" w:rsidRPr="00554A1C" w:rsidRDefault="0087624E" w:rsidP="0087624E">
      <w:pPr>
        <w:spacing w:after="240"/>
        <w:rPr>
          <w:rFonts w:ascii="Times New Roman" w:eastAsia="Times New Roman" w:hAnsi="Times New Roman" w:cs="Times New Roman"/>
          <w:kern w:val="0"/>
          <w14:ligatures w14:val="none"/>
        </w:rPr>
      </w:pPr>
    </w:p>
    <w:p w14:paraId="553DA6D5"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i/>
          <w:iCs/>
          <w:color w:val="000000"/>
          <w:kern w:val="0"/>
          <w14:ligatures w14:val="none"/>
        </w:rPr>
        <w:t>PROMOTION TO FULL PROFESSOR </w:t>
      </w:r>
    </w:p>
    <w:p w14:paraId="39361BE9"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Associate Professors are expected to provide tangible evidence of a high quality and effective teaching record, professional development and/or research, and service to the department, including administrative appointments when applicable. </w:t>
      </w:r>
    </w:p>
    <w:p w14:paraId="6BD98E03" w14:textId="77777777" w:rsidR="0087624E" w:rsidRPr="00554A1C" w:rsidRDefault="0087624E" w:rsidP="0087624E">
      <w:pPr>
        <w:rPr>
          <w:rFonts w:ascii="Times New Roman" w:eastAsia="Times New Roman" w:hAnsi="Times New Roman" w:cs="Times New Roman"/>
          <w:kern w:val="0"/>
          <w14:ligatures w14:val="none"/>
        </w:rPr>
      </w:pPr>
    </w:p>
    <w:p w14:paraId="1429F72A"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Teaching </w:t>
      </w:r>
    </w:p>
    <w:p w14:paraId="28FBB34B" w14:textId="418948FB"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The successful candidate for promotion will demonstrate a continuing record of high-quality and effective teaching, advising, and mentoring of students</w:t>
      </w:r>
      <w:r w:rsidRPr="00554A1C">
        <w:rPr>
          <w:rFonts w:ascii="Times New Roman" w:eastAsia="Times New Roman" w:hAnsi="Times New Roman" w:cs="Times New Roman"/>
          <w:b/>
          <w:bCs/>
          <w:color w:val="000000"/>
          <w:kern w:val="0"/>
          <w14:ligatures w14:val="none"/>
        </w:rPr>
        <w:t xml:space="preserve">. </w:t>
      </w:r>
      <w:r w:rsidRPr="00554A1C">
        <w:rPr>
          <w:rFonts w:ascii="Times New Roman" w:eastAsia="Times New Roman" w:hAnsi="Times New Roman" w:cs="Times New Roman"/>
          <w:color w:val="000000"/>
          <w:kern w:val="0"/>
          <w14:ligatures w14:val="none"/>
        </w:rPr>
        <w:t xml:space="preserve">When evaluating a faculty member’s teaching </w:t>
      </w:r>
      <w:r w:rsidR="004C2205" w:rsidRPr="00554A1C">
        <w:rPr>
          <w:rFonts w:ascii="Times New Roman" w:eastAsia="Times New Roman" w:hAnsi="Times New Roman" w:cs="Times New Roman"/>
          <w:color w:val="000000"/>
          <w:kern w:val="0"/>
          <w14:ligatures w14:val="none"/>
        </w:rPr>
        <w:t>performance, teaching</w:t>
      </w:r>
      <w:r w:rsidRPr="00554A1C">
        <w:rPr>
          <w:rFonts w:ascii="Times New Roman" w:eastAsia="Times New Roman" w:hAnsi="Times New Roman" w:cs="Times New Roman"/>
          <w:color w:val="000000"/>
          <w:kern w:val="0"/>
          <w14:ligatures w14:val="none"/>
        </w:rPr>
        <w:t xml:space="preserve"> effectiveness should be evaluated based on a variety of factors including, but not limited to, teacher course evaluations, teaching portfolio, peer observations, syllabi, and other evidence of in-class performance provided by the faculty member.</w:t>
      </w:r>
    </w:p>
    <w:p w14:paraId="5B19FE17" w14:textId="77777777" w:rsidR="0087624E" w:rsidRPr="00554A1C" w:rsidRDefault="0087624E" w:rsidP="0087624E">
      <w:pPr>
        <w:rPr>
          <w:rFonts w:ascii="Times New Roman" w:eastAsia="Times New Roman" w:hAnsi="Times New Roman" w:cs="Times New Roman"/>
          <w:kern w:val="0"/>
          <w14:ligatures w14:val="none"/>
        </w:rPr>
      </w:pPr>
    </w:p>
    <w:p w14:paraId="0F359AE4"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Faculty should demonstrate achievements in teaching through activities such as, but not limited to, the following:</w:t>
      </w:r>
    </w:p>
    <w:p w14:paraId="1683CAD6"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developing and teaching new courses</w:t>
      </w:r>
    </w:p>
    <w:p w14:paraId="59093B73"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direction of independent studies courses and internships</w:t>
      </w:r>
    </w:p>
    <w:p w14:paraId="523A7E19"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facilitating Honors Course Agreements in existing SPA classes</w:t>
      </w:r>
    </w:p>
    <w:p w14:paraId="29045E53"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lastRenderedPageBreak/>
        <w:t>d) mentoring activities in recognized university-wide programs, such as theses for the Honors College or Gaines Fellows, or Chelgren Fellows </w:t>
      </w:r>
    </w:p>
    <w:p w14:paraId="27A35671"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 teaching courses required for UK Core</w:t>
      </w:r>
    </w:p>
    <w:p w14:paraId="4038010C"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f) coordinating multi-section courses, for which they impart pedagogical guidance to instructors and section leaders, and for which they design the syllabi and/or supervise the creation of examinations </w:t>
      </w:r>
    </w:p>
    <w:p w14:paraId="3F8CF496"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g) training and supervising graduate teaching assistants </w:t>
      </w:r>
    </w:p>
    <w:p w14:paraId="1D90066C"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h) introducing and implementing novel teaching techniques or instructional technology into the undergraduate program</w:t>
      </w:r>
    </w:p>
    <w:p w14:paraId="39530E3D"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i) supporting undergraduate students in presenting their research at regional, national or international conferences </w:t>
      </w:r>
    </w:p>
    <w:p w14:paraId="42560C0F"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j) other related pedagogical activities that enhance the candidate’s teaching at the undergraduate or graduate level</w:t>
      </w:r>
    </w:p>
    <w:p w14:paraId="7A196361" w14:textId="7EF63242" w:rsidR="0087624E" w:rsidRPr="00554A1C" w:rsidRDefault="004C2205" w:rsidP="0087624E">
      <w:pPr>
        <w:ind w:left="720"/>
        <w:rPr>
          <w:rFonts w:ascii="Times New Roman" w:eastAsia="Times New Roman" w:hAnsi="Times New Roman" w:cs="Times New Roman"/>
          <w:color w:val="000000"/>
          <w:kern w:val="0"/>
          <w14:ligatures w14:val="none"/>
        </w:rPr>
      </w:pPr>
      <w:r w:rsidRPr="00554A1C">
        <w:rPr>
          <w:rFonts w:ascii="Times New Roman" w:eastAsia="Times New Roman" w:hAnsi="Times New Roman" w:cs="Times New Roman"/>
          <w:color w:val="000000"/>
          <w:kern w:val="0"/>
          <w14:ligatures w14:val="none"/>
        </w:rPr>
        <w:t>k</w:t>
      </w:r>
      <w:r w:rsidR="0087624E" w:rsidRPr="00554A1C">
        <w:rPr>
          <w:rFonts w:ascii="Times New Roman" w:eastAsia="Times New Roman" w:hAnsi="Times New Roman" w:cs="Times New Roman"/>
          <w:color w:val="000000"/>
          <w:kern w:val="0"/>
          <w14:ligatures w14:val="none"/>
        </w:rPr>
        <w:t>) advising undergraduate students and collaboration with college and university advising programs</w:t>
      </w:r>
    </w:p>
    <w:p w14:paraId="059371C5" w14:textId="35B20F51" w:rsidR="00761777" w:rsidRPr="00554A1C" w:rsidRDefault="00761777" w:rsidP="00761777">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kern w:val="0"/>
          <w14:ligatures w14:val="none"/>
        </w:rPr>
        <w:t xml:space="preserve">l) receiving awards recognizing </w:t>
      </w:r>
      <w:r w:rsidR="00166C9A" w:rsidRPr="00554A1C">
        <w:rPr>
          <w:rFonts w:ascii="Times New Roman" w:eastAsia="Times New Roman" w:hAnsi="Times New Roman" w:cs="Times New Roman"/>
          <w:kern w:val="0"/>
          <w14:ligatures w14:val="none"/>
        </w:rPr>
        <w:t>teaching</w:t>
      </w:r>
      <w:r w:rsidRPr="00554A1C">
        <w:rPr>
          <w:rFonts w:ascii="Times New Roman" w:eastAsia="Times New Roman" w:hAnsi="Times New Roman" w:cs="Times New Roman"/>
          <w:kern w:val="0"/>
          <w14:ligatures w14:val="none"/>
        </w:rPr>
        <w:t xml:space="preserve"> achievement</w:t>
      </w:r>
    </w:p>
    <w:p w14:paraId="3B066877" w14:textId="77777777" w:rsidR="0087624E" w:rsidRPr="00554A1C" w:rsidRDefault="0087624E" w:rsidP="0087624E">
      <w:pPr>
        <w:rPr>
          <w:rFonts w:ascii="Times New Roman" w:eastAsia="Times New Roman" w:hAnsi="Times New Roman" w:cs="Times New Roman"/>
          <w:kern w:val="0"/>
          <w14:ligatures w14:val="none"/>
        </w:rPr>
      </w:pPr>
    </w:p>
    <w:p w14:paraId="7FE26A2E"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Professional Development and/or Research </w:t>
      </w:r>
    </w:p>
    <w:p w14:paraId="2C105575"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In terms of professional development and/or research, candidates for promotion should present sustained and meaningful contributions to the scholarship and practice of teaching or their chosen field of research, in accordance with their DOE, beyond that presented in their promotion to Associate Professor. Based on the percentage assigned to Professional Development and/or Research, Associate Professors should demonstrate achievement in professional development and/or an active and sustained research agenda through activities such as, but not limited to, the following:</w:t>
      </w:r>
    </w:p>
    <w:p w14:paraId="09AB2ED1"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presenting at scholarly or professional conferences </w:t>
      </w:r>
    </w:p>
    <w:p w14:paraId="072FBC14"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regular attendance and active engagement in teaching workshops and conferences</w:t>
      </w:r>
    </w:p>
    <w:p w14:paraId="4D4F0EED" w14:textId="77777777" w:rsidR="0087624E" w:rsidRPr="00554A1C" w:rsidRDefault="0087624E" w:rsidP="00554A1C">
      <w:pPr>
        <w:ind w:left="709" w:firstLine="11"/>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on-going leadership and active participation in related professional or community organizations</w:t>
      </w:r>
    </w:p>
    <w:p w14:paraId="6CFC74C2" w14:textId="536A46CF"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d) authoring or co-authoring books, textbooks, </w:t>
      </w:r>
      <w:r w:rsidR="004C2205" w:rsidRPr="00554A1C">
        <w:rPr>
          <w:rFonts w:ascii="Times New Roman" w:eastAsia="Times New Roman" w:hAnsi="Times New Roman" w:cs="Times New Roman"/>
          <w:color w:val="000000"/>
          <w:kern w:val="0"/>
          <w14:ligatures w14:val="none"/>
        </w:rPr>
        <w:t>articles,</w:t>
      </w:r>
      <w:r w:rsidRPr="00554A1C">
        <w:rPr>
          <w:rFonts w:ascii="Times New Roman" w:eastAsia="Times New Roman" w:hAnsi="Times New Roman" w:cs="Times New Roman"/>
          <w:color w:val="000000"/>
          <w:kern w:val="0"/>
          <w14:ligatures w14:val="none"/>
        </w:rPr>
        <w:t xml:space="preserve"> or substantive digital projects</w:t>
      </w:r>
    </w:p>
    <w:p w14:paraId="2C182E70"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 editing or co-editing books or special journal issues</w:t>
      </w:r>
    </w:p>
    <w:p w14:paraId="36BA512F" w14:textId="77777777" w:rsidR="0087624E" w:rsidRPr="00554A1C" w:rsidRDefault="0087624E" w:rsidP="00554A1C">
      <w:pPr>
        <w:ind w:left="709" w:firstLine="11"/>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f) securing and managing grants or fellowships to support research or professional activities</w:t>
      </w:r>
    </w:p>
    <w:p w14:paraId="24C95164"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g) receiving awards recognizing research or professional achievement</w:t>
      </w:r>
    </w:p>
    <w:p w14:paraId="5A443095"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h) leading workshops for professional or community organizations</w:t>
      </w:r>
    </w:p>
    <w:p w14:paraId="0508BA5F" w14:textId="77777777" w:rsidR="0087624E" w:rsidRPr="00554A1C" w:rsidRDefault="0087624E" w:rsidP="0087624E">
      <w:pPr>
        <w:ind w:firstLine="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i) delivering guest lectures or invited talks</w:t>
      </w:r>
    </w:p>
    <w:p w14:paraId="3AE273C0" w14:textId="77777777" w:rsidR="0087624E" w:rsidRPr="00554A1C" w:rsidRDefault="0087624E" w:rsidP="0087624E">
      <w:pPr>
        <w:ind w:left="720"/>
        <w:rPr>
          <w:rFonts w:ascii="Times New Roman" w:eastAsia="Times New Roman" w:hAnsi="Times New Roman" w:cs="Times New Roman"/>
          <w:color w:val="000000"/>
          <w:kern w:val="0"/>
          <w14:ligatures w14:val="none"/>
        </w:rPr>
      </w:pPr>
      <w:r w:rsidRPr="00554A1C">
        <w:rPr>
          <w:rFonts w:ascii="Times New Roman" w:eastAsia="Times New Roman" w:hAnsi="Times New Roman" w:cs="Times New Roman"/>
          <w:color w:val="000000"/>
          <w:kern w:val="0"/>
          <w14:ligatures w14:val="none"/>
        </w:rPr>
        <w:t>j) publishing translations, interviews, instructional design materials, or similar related professional or scholarly-content publications</w:t>
      </w:r>
    </w:p>
    <w:p w14:paraId="2283509E" w14:textId="6E57A99C" w:rsidR="00142BD7" w:rsidRPr="00554A1C" w:rsidRDefault="00142BD7" w:rsidP="00554A1C">
      <w:pPr>
        <w:pStyle w:val="ListParagraph"/>
        <w:numPr>
          <w:ilvl w:val="0"/>
          <w:numId w:val="3"/>
        </w:num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evidence of national and/or international recognition</w:t>
      </w:r>
      <w:r w:rsidR="00C5525C" w:rsidRPr="00554A1C">
        <w:rPr>
          <w:rFonts w:ascii="Times New Roman" w:eastAsia="Times New Roman" w:hAnsi="Times New Roman" w:cs="Times New Roman"/>
          <w:color w:val="000000"/>
          <w:kern w:val="0"/>
          <w14:ligatures w14:val="none"/>
        </w:rPr>
        <w:t xml:space="preserve"> in the field.</w:t>
      </w:r>
    </w:p>
    <w:p w14:paraId="54B4FEBF" w14:textId="77777777" w:rsidR="00142BD7" w:rsidRPr="00554A1C" w:rsidRDefault="00142BD7" w:rsidP="0087624E">
      <w:pPr>
        <w:ind w:left="720"/>
        <w:rPr>
          <w:rFonts w:ascii="Times New Roman" w:eastAsia="Times New Roman" w:hAnsi="Times New Roman" w:cs="Times New Roman"/>
          <w:kern w:val="0"/>
          <w14:ligatures w14:val="none"/>
        </w:rPr>
      </w:pPr>
    </w:p>
    <w:p w14:paraId="1C7F7128" w14:textId="77777777" w:rsidR="0087624E" w:rsidRPr="00554A1C" w:rsidRDefault="0087624E" w:rsidP="0087624E">
      <w:pPr>
        <w:rPr>
          <w:rFonts w:ascii="Times New Roman" w:eastAsia="Times New Roman" w:hAnsi="Times New Roman" w:cs="Times New Roman"/>
          <w:kern w:val="0"/>
          <w14:ligatures w14:val="none"/>
        </w:rPr>
      </w:pPr>
    </w:p>
    <w:p w14:paraId="6024CE4A"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Service</w:t>
      </w:r>
    </w:p>
    <w:p w14:paraId="7F0AE703" w14:textId="2A6293E0"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The candidates for promotion to Full Professor are expected to contribute more to the service mission </w:t>
      </w:r>
      <w:r w:rsidR="004C2205" w:rsidRPr="00554A1C">
        <w:rPr>
          <w:rFonts w:ascii="Times New Roman" w:eastAsia="Times New Roman" w:hAnsi="Times New Roman" w:cs="Times New Roman"/>
          <w:color w:val="000000"/>
          <w:kern w:val="0"/>
          <w14:ligatures w14:val="none"/>
        </w:rPr>
        <w:t>than assistant</w:t>
      </w:r>
      <w:r w:rsidRPr="00554A1C">
        <w:rPr>
          <w:rFonts w:ascii="Times New Roman" w:eastAsia="Times New Roman" w:hAnsi="Times New Roman" w:cs="Times New Roman"/>
          <w:color w:val="000000"/>
          <w:kern w:val="0"/>
          <w14:ligatures w14:val="none"/>
        </w:rPr>
        <w:t xml:space="preserve"> professors, and it is expected that these contributions will extend beyond the department to include service to the college, university, and/or community. This can be demonstrated through activities such as, but not limited to the following:</w:t>
      </w:r>
    </w:p>
    <w:p w14:paraId="604D6123"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lastRenderedPageBreak/>
        <w:t>a) serving on at least two departmental and/or college- or university-level committees</w:t>
      </w:r>
    </w:p>
    <w:p w14:paraId="13947015"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on-going leadership in promotion and growth of the undergraduate Spanish program</w:t>
      </w:r>
    </w:p>
    <w:p w14:paraId="409C8C7A"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on-going leadership in university programs, discipline-related activities, and/or community engagement initiatives </w:t>
      </w:r>
    </w:p>
    <w:p w14:paraId="50C5FCA9"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d) service to regional or national professional organizations related to teaching or areas of research interests</w:t>
      </w:r>
    </w:p>
    <w:p w14:paraId="567ABF27" w14:textId="77777777" w:rsidR="0087624E" w:rsidRPr="00554A1C" w:rsidRDefault="0087624E" w:rsidP="0087624E">
      <w:pPr>
        <w:rPr>
          <w:rFonts w:ascii="Times New Roman" w:eastAsia="Times New Roman" w:hAnsi="Times New Roman" w:cs="Times New Roman"/>
          <w:kern w:val="0"/>
          <w14:ligatures w14:val="none"/>
        </w:rPr>
      </w:pPr>
    </w:p>
    <w:p w14:paraId="3E041A41" w14:textId="77777777"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b/>
          <w:bCs/>
          <w:color w:val="000000"/>
          <w:kern w:val="0"/>
          <w14:ligatures w14:val="none"/>
        </w:rPr>
        <w:t>Evaluation of Faculty in the Area of Administration</w:t>
      </w:r>
    </w:p>
    <w:p w14:paraId="3E6FF659" w14:textId="00958D75" w:rsidR="0087624E" w:rsidRPr="00554A1C" w:rsidRDefault="0087624E" w:rsidP="0087624E">
      <w:pPr>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 xml:space="preserve">When the faculty DOE includes an </w:t>
      </w:r>
      <w:r w:rsidR="004C2205" w:rsidRPr="00554A1C">
        <w:rPr>
          <w:rFonts w:ascii="Times New Roman" w:eastAsia="Times New Roman" w:hAnsi="Times New Roman" w:cs="Times New Roman"/>
          <w:color w:val="000000"/>
          <w:kern w:val="0"/>
          <w14:ligatures w14:val="none"/>
        </w:rPr>
        <w:t>administrative</w:t>
      </w:r>
      <w:r w:rsidRPr="00554A1C">
        <w:rPr>
          <w:rFonts w:ascii="Times New Roman" w:eastAsia="Times New Roman" w:hAnsi="Times New Roman" w:cs="Times New Roman"/>
          <w:color w:val="000000"/>
          <w:kern w:val="0"/>
          <w14:ligatures w14:val="none"/>
        </w:rPr>
        <w:t xml:space="preserve"> appointment </w:t>
      </w:r>
      <w:r w:rsidR="00BF3A5E" w:rsidRPr="00554A1C">
        <w:rPr>
          <w:rFonts w:ascii="Times New Roman" w:eastAsia="Times New Roman" w:hAnsi="Times New Roman" w:cs="Times New Roman"/>
          <w:color w:val="000000"/>
          <w:kern w:val="0"/>
          <w14:ligatures w14:val="none"/>
        </w:rPr>
        <w:t>within the department</w:t>
      </w:r>
      <w:r w:rsidRPr="00554A1C">
        <w:rPr>
          <w:rFonts w:ascii="Times New Roman" w:eastAsia="Times New Roman" w:hAnsi="Times New Roman" w:cs="Times New Roman"/>
          <w:color w:val="000000"/>
          <w:kern w:val="0"/>
          <w14:ligatures w14:val="none"/>
        </w:rPr>
        <w:t xml:space="preserve">, candidates should be assessed based on the role and function of their unique administrative role. Candidates for promotion to Full professors should provide tangible evidence of sustained and effective administrative work that supports the mission and function of the department through </w:t>
      </w:r>
      <w:r w:rsidR="004C2205" w:rsidRPr="00554A1C">
        <w:rPr>
          <w:rFonts w:ascii="Times New Roman" w:eastAsia="Times New Roman" w:hAnsi="Times New Roman" w:cs="Times New Roman"/>
          <w:color w:val="000000"/>
          <w:kern w:val="0"/>
          <w14:ligatures w14:val="none"/>
        </w:rPr>
        <w:t>activities such as, but not limited to:</w:t>
      </w:r>
    </w:p>
    <w:p w14:paraId="684A79CA" w14:textId="77777777" w:rsidR="0087624E" w:rsidRPr="00554A1C" w:rsidRDefault="0087624E" w:rsidP="0087624E">
      <w:pPr>
        <w:rPr>
          <w:rFonts w:ascii="Times New Roman" w:eastAsia="Times New Roman" w:hAnsi="Times New Roman" w:cs="Times New Roman"/>
          <w:kern w:val="0"/>
          <w14:ligatures w14:val="none"/>
        </w:rPr>
      </w:pPr>
    </w:p>
    <w:p w14:paraId="0C2F22D6"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a) supervision and pedagogical development of instructors and courses at the undergraduate level</w:t>
      </w:r>
    </w:p>
    <w:p w14:paraId="0758272A"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b) training and assessment of Teaching Assistants and Part Time Instructors</w:t>
      </w:r>
    </w:p>
    <w:p w14:paraId="5BE32B4E"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c) implementation of program level assessments</w:t>
      </w:r>
    </w:p>
    <w:p w14:paraId="35014041" w14:textId="77777777" w:rsidR="0087624E" w:rsidRPr="00554A1C"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d) scheduling of courses and teaching assignments</w:t>
      </w:r>
    </w:p>
    <w:p w14:paraId="0C0ACD31" w14:textId="77777777" w:rsidR="0087624E" w:rsidRPr="0087624E" w:rsidRDefault="0087624E" w:rsidP="0087624E">
      <w:pPr>
        <w:ind w:left="720"/>
        <w:rPr>
          <w:rFonts w:ascii="Times New Roman" w:eastAsia="Times New Roman" w:hAnsi="Times New Roman" w:cs="Times New Roman"/>
          <w:kern w:val="0"/>
          <w14:ligatures w14:val="none"/>
        </w:rPr>
      </w:pPr>
      <w:r w:rsidRPr="00554A1C">
        <w:rPr>
          <w:rFonts w:ascii="Times New Roman" w:eastAsia="Times New Roman" w:hAnsi="Times New Roman" w:cs="Times New Roman"/>
          <w:color w:val="000000"/>
          <w:kern w:val="0"/>
          <w14:ligatures w14:val="none"/>
        </w:rPr>
        <w:t>e) collaboration and outreach to the college, university, and community at large</w:t>
      </w:r>
    </w:p>
    <w:p w14:paraId="0C93FC83" w14:textId="2CFBE9AE" w:rsidR="00DF3728" w:rsidRDefault="00E65186" w:rsidP="0087624E">
      <w:r w:rsidRPr="00E65186">
        <w:drawing>
          <wp:anchor distT="0" distB="0" distL="114300" distR="114300" simplePos="0" relativeHeight="251659264" behindDoc="0" locked="0" layoutInCell="1" allowOverlap="1" wp14:anchorId="458F0C0F" wp14:editId="574087A2">
            <wp:simplePos x="0" y="0"/>
            <wp:positionH relativeFrom="margin">
              <wp:align>left</wp:align>
            </wp:positionH>
            <wp:positionV relativeFrom="paragraph">
              <wp:posOffset>1882140</wp:posOffset>
            </wp:positionV>
            <wp:extent cx="3590925" cy="2571750"/>
            <wp:effectExtent l="0" t="0" r="9525" b="0"/>
            <wp:wrapNone/>
            <wp:docPr id="66048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85975" name=""/>
                    <pic:cNvPicPr/>
                  </pic:nvPicPr>
                  <pic:blipFill>
                    <a:blip r:embed="rId9">
                      <a:extLst>
                        <a:ext uri="{28A0092B-C50C-407E-A947-70E740481C1C}">
                          <a14:useLocalDpi xmlns:a14="http://schemas.microsoft.com/office/drawing/2010/main" val="0"/>
                        </a:ext>
                      </a:extLst>
                    </a:blip>
                    <a:stretch>
                      <a:fillRect/>
                    </a:stretch>
                  </pic:blipFill>
                  <pic:spPr>
                    <a:xfrm>
                      <a:off x="0" y="0"/>
                      <a:ext cx="3590925" cy="2571750"/>
                    </a:xfrm>
                    <a:prstGeom prst="rect">
                      <a:avLst/>
                    </a:prstGeom>
                  </pic:spPr>
                </pic:pic>
              </a:graphicData>
            </a:graphic>
          </wp:anchor>
        </w:drawing>
      </w:r>
      <w:r w:rsidR="0087624E" w:rsidRPr="0087624E">
        <w:rPr>
          <w:rFonts w:ascii="Times New Roman" w:eastAsia="Times New Roman" w:hAnsi="Times New Roman" w:cs="Times New Roman"/>
          <w:kern w:val="0"/>
          <w14:ligatures w14:val="none"/>
        </w:rPr>
        <w:br/>
      </w:r>
    </w:p>
    <w:sectPr w:rsidR="00DF37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0DD2" w14:textId="77777777" w:rsidR="00054113" w:rsidRDefault="00054113" w:rsidP="00166C9A">
      <w:r>
        <w:separator/>
      </w:r>
    </w:p>
  </w:endnote>
  <w:endnote w:type="continuationSeparator" w:id="0">
    <w:p w14:paraId="734F0B83" w14:textId="77777777" w:rsidR="00054113" w:rsidRDefault="00054113" w:rsidP="00166C9A">
      <w:r>
        <w:continuationSeparator/>
      </w:r>
    </w:p>
  </w:endnote>
  <w:endnote w:type="continuationNotice" w:id="1">
    <w:p w14:paraId="6631880B" w14:textId="77777777" w:rsidR="00054113" w:rsidRDefault="0005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curyDisplay-Roman">
    <w:altName w:val="Calibri"/>
    <w:panose1 w:val="00000000000000000000"/>
    <w:charset w:val="00"/>
    <w:family w:val="auto"/>
    <w:notTrueType/>
    <w:pitch w:val="variable"/>
    <w:sig w:usb0="A000007F" w:usb1="4000004A"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C8C3" w14:textId="77777777" w:rsidR="00054113" w:rsidRDefault="00054113" w:rsidP="00166C9A">
      <w:r>
        <w:separator/>
      </w:r>
    </w:p>
  </w:footnote>
  <w:footnote w:type="continuationSeparator" w:id="0">
    <w:p w14:paraId="4228F64F" w14:textId="77777777" w:rsidR="00054113" w:rsidRDefault="00054113" w:rsidP="00166C9A">
      <w:r>
        <w:continuationSeparator/>
      </w:r>
    </w:p>
  </w:footnote>
  <w:footnote w:type="continuationNotice" w:id="1">
    <w:p w14:paraId="5787AFBA" w14:textId="77777777" w:rsidR="00054113" w:rsidRDefault="00054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694052"/>
      <w:docPartObj>
        <w:docPartGallery w:val="Page Numbers (Top of Page)"/>
        <w:docPartUnique/>
      </w:docPartObj>
    </w:sdtPr>
    <w:sdtEndPr>
      <w:rPr>
        <w:noProof/>
      </w:rPr>
    </w:sdtEndPr>
    <w:sdtContent>
      <w:p w14:paraId="650DD4EF" w14:textId="70A5C7F3" w:rsidR="00166C9A" w:rsidRDefault="00166C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678E2B" w14:textId="77777777" w:rsidR="00166C9A" w:rsidRDefault="00166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AAD"/>
    <w:multiLevelType w:val="hybridMultilevel"/>
    <w:tmpl w:val="AC56E990"/>
    <w:lvl w:ilvl="0" w:tplc="C150A8B0">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571BE"/>
    <w:multiLevelType w:val="hybridMultilevel"/>
    <w:tmpl w:val="CFA468B6"/>
    <w:lvl w:ilvl="0" w:tplc="E8FCA582">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97749"/>
    <w:multiLevelType w:val="hybridMultilevel"/>
    <w:tmpl w:val="F488CD22"/>
    <w:lvl w:ilvl="0" w:tplc="57A00CF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8819473">
    <w:abstractNumId w:val="2"/>
  </w:num>
  <w:num w:numId="2" w16cid:durableId="1752504171">
    <w:abstractNumId w:val="0"/>
  </w:num>
  <w:num w:numId="3" w16cid:durableId="81755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4E"/>
    <w:rsid w:val="000035A6"/>
    <w:rsid w:val="000445AA"/>
    <w:rsid w:val="00054113"/>
    <w:rsid w:val="00095239"/>
    <w:rsid w:val="000B1870"/>
    <w:rsid w:val="000B659E"/>
    <w:rsid w:val="000E1DBC"/>
    <w:rsid w:val="00142BD7"/>
    <w:rsid w:val="00150826"/>
    <w:rsid w:val="00166C9A"/>
    <w:rsid w:val="00264DF7"/>
    <w:rsid w:val="002940A4"/>
    <w:rsid w:val="002A4D3F"/>
    <w:rsid w:val="00384129"/>
    <w:rsid w:val="00393C48"/>
    <w:rsid w:val="003B1A52"/>
    <w:rsid w:val="00465B98"/>
    <w:rsid w:val="004C2205"/>
    <w:rsid w:val="00554A1C"/>
    <w:rsid w:val="005F2055"/>
    <w:rsid w:val="005F33FF"/>
    <w:rsid w:val="006079A4"/>
    <w:rsid w:val="006215D6"/>
    <w:rsid w:val="006322AA"/>
    <w:rsid w:val="00657AF1"/>
    <w:rsid w:val="00691D1D"/>
    <w:rsid w:val="006E53CA"/>
    <w:rsid w:val="00703324"/>
    <w:rsid w:val="0071116D"/>
    <w:rsid w:val="0071618D"/>
    <w:rsid w:val="00761777"/>
    <w:rsid w:val="007C5F74"/>
    <w:rsid w:val="00804CE5"/>
    <w:rsid w:val="008055C1"/>
    <w:rsid w:val="00874957"/>
    <w:rsid w:val="0087624E"/>
    <w:rsid w:val="00892C33"/>
    <w:rsid w:val="008C754B"/>
    <w:rsid w:val="00902B3F"/>
    <w:rsid w:val="009A585C"/>
    <w:rsid w:val="009B656A"/>
    <w:rsid w:val="00A26232"/>
    <w:rsid w:val="00A75A46"/>
    <w:rsid w:val="00AD59E7"/>
    <w:rsid w:val="00AD77BD"/>
    <w:rsid w:val="00AE363A"/>
    <w:rsid w:val="00AE3FB6"/>
    <w:rsid w:val="00B17EDF"/>
    <w:rsid w:val="00BD68CA"/>
    <w:rsid w:val="00BF3A5E"/>
    <w:rsid w:val="00C338DE"/>
    <w:rsid w:val="00C5525C"/>
    <w:rsid w:val="00D10F8E"/>
    <w:rsid w:val="00D57196"/>
    <w:rsid w:val="00D83D20"/>
    <w:rsid w:val="00D85CF5"/>
    <w:rsid w:val="00DA2AC9"/>
    <w:rsid w:val="00DB68F5"/>
    <w:rsid w:val="00DF3728"/>
    <w:rsid w:val="00E2439B"/>
    <w:rsid w:val="00E27D64"/>
    <w:rsid w:val="00E52BBC"/>
    <w:rsid w:val="00E65186"/>
    <w:rsid w:val="00EA51E7"/>
    <w:rsid w:val="00EC6FA6"/>
    <w:rsid w:val="00F07522"/>
    <w:rsid w:val="00F12693"/>
    <w:rsid w:val="00F33D79"/>
    <w:rsid w:val="00F34A17"/>
    <w:rsid w:val="00F405F9"/>
    <w:rsid w:val="00F45C4D"/>
    <w:rsid w:val="00FF23BB"/>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2E68"/>
  <w15:chartTrackingRefBased/>
  <w15:docId w15:val="{3800673F-1DFE-4E9D-9B29-D3490CBA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2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2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2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2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24E"/>
    <w:rPr>
      <w:rFonts w:eastAsiaTheme="majorEastAsia" w:cstheme="majorBidi"/>
      <w:color w:val="272727" w:themeColor="text1" w:themeTint="D8"/>
    </w:rPr>
  </w:style>
  <w:style w:type="paragraph" w:styleId="Title">
    <w:name w:val="Title"/>
    <w:basedOn w:val="Normal"/>
    <w:next w:val="Normal"/>
    <w:link w:val="TitleChar"/>
    <w:uiPriority w:val="10"/>
    <w:qFormat/>
    <w:rsid w:val="008762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2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2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624E"/>
    <w:rPr>
      <w:i/>
      <w:iCs/>
      <w:color w:val="404040" w:themeColor="text1" w:themeTint="BF"/>
    </w:rPr>
  </w:style>
  <w:style w:type="paragraph" w:styleId="ListParagraph">
    <w:name w:val="List Paragraph"/>
    <w:basedOn w:val="Normal"/>
    <w:uiPriority w:val="34"/>
    <w:qFormat/>
    <w:rsid w:val="0087624E"/>
    <w:pPr>
      <w:ind w:left="720"/>
      <w:contextualSpacing/>
    </w:pPr>
  </w:style>
  <w:style w:type="character" w:styleId="IntenseEmphasis">
    <w:name w:val="Intense Emphasis"/>
    <w:basedOn w:val="DefaultParagraphFont"/>
    <w:uiPriority w:val="21"/>
    <w:qFormat/>
    <w:rsid w:val="0087624E"/>
    <w:rPr>
      <w:i/>
      <w:iCs/>
      <w:color w:val="0F4761" w:themeColor="accent1" w:themeShade="BF"/>
    </w:rPr>
  </w:style>
  <w:style w:type="paragraph" w:styleId="IntenseQuote">
    <w:name w:val="Intense Quote"/>
    <w:basedOn w:val="Normal"/>
    <w:next w:val="Normal"/>
    <w:link w:val="IntenseQuoteChar"/>
    <w:uiPriority w:val="30"/>
    <w:qFormat/>
    <w:rsid w:val="00876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24E"/>
    <w:rPr>
      <w:i/>
      <w:iCs/>
      <w:color w:val="0F4761" w:themeColor="accent1" w:themeShade="BF"/>
    </w:rPr>
  </w:style>
  <w:style w:type="character" w:styleId="IntenseReference">
    <w:name w:val="Intense Reference"/>
    <w:basedOn w:val="DefaultParagraphFont"/>
    <w:uiPriority w:val="32"/>
    <w:qFormat/>
    <w:rsid w:val="0087624E"/>
    <w:rPr>
      <w:b/>
      <w:bCs/>
      <w:smallCaps/>
      <w:color w:val="0F4761" w:themeColor="accent1" w:themeShade="BF"/>
      <w:spacing w:val="5"/>
    </w:rPr>
  </w:style>
  <w:style w:type="paragraph" w:styleId="NormalWeb">
    <w:name w:val="Normal (Web)"/>
    <w:basedOn w:val="Normal"/>
    <w:uiPriority w:val="99"/>
    <w:semiHidden/>
    <w:unhideWhenUsed/>
    <w:rsid w:val="0087624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7624E"/>
    <w:rPr>
      <w:color w:val="0000FF"/>
      <w:u w:val="single"/>
    </w:rPr>
  </w:style>
  <w:style w:type="paragraph" w:styleId="Header">
    <w:name w:val="header"/>
    <w:basedOn w:val="Normal"/>
    <w:link w:val="HeaderChar"/>
    <w:uiPriority w:val="99"/>
    <w:unhideWhenUsed/>
    <w:rsid w:val="00166C9A"/>
    <w:pPr>
      <w:tabs>
        <w:tab w:val="center" w:pos="4680"/>
        <w:tab w:val="right" w:pos="9360"/>
      </w:tabs>
    </w:pPr>
  </w:style>
  <w:style w:type="character" w:customStyle="1" w:styleId="HeaderChar">
    <w:name w:val="Header Char"/>
    <w:basedOn w:val="DefaultParagraphFont"/>
    <w:link w:val="Header"/>
    <w:uiPriority w:val="99"/>
    <w:rsid w:val="00166C9A"/>
  </w:style>
  <w:style w:type="paragraph" w:styleId="Footer">
    <w:name w:val="footer"/>
    <w:basedOn w:val="Normal"/>
    <w:link w:val="FooterChar"/>
    <w:uiPriority w:val="99"/>
    <w:unhideWhenUsed/>
    <w:rsid w:val="00166C9A"/>
    <w:pPr>
      <w:tabs>
        <w:tab w:val="center" w:pos="4680"/>
        <w:tab w:val="right" w:pos="9360"/>
      </w:tabs>
    </w:pPr>
  </w:style>
  <w:style w:type="character" w:customStyle="1" w:styleId="FooterChar">
    <w:name w:val="Footer Char"/>
    <w:basedOn w:val="DefaultParagraphFont"/>
    <w:link w:val="Footer"/>
    <w:uiPriority w:val="99"/>
    <w:rsid w:val="00166C9A"/>
  </w:style>
  <w:style w:type="paragraph" w:styleId="Revision">
    <w:name w:val="Revision"/>
    <w:hidden/>
    <w:uiPriority w:val="99"/>
    <w:semiHidden/>
    <w:rsid w:val="0000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s.uky.edu/administrative-regulation/ar-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Links>
    <vt:vector size="6" baseType="variant">
      <vt:variant>
        <vt:i4>5832709</vt:i4>
      </vt:variant>
      <vt:variant>
        <vt:i4>0</vt:i4>
      </vt:variant>
      <vt:variant>
        <vt:i4>0</vt:i4>
      </vt:variant>
      <vt:variant>
        <vt:i4>5</vt:i4>
      </vt:variant>
      <vt:variant>
        <vt:lpwstr>https://regs.uky.edu/administrative-regulation/ar-24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Monica</dc:creator>
  <cp:keywords/>
  <dc:description/>
  <cp:lastModifiedBy>Vidal, Ben</cp:lastModifiedBy>
  <cp:revision>3</cp:revision>
  <dcterms:created xsi:type="dcterms:W3CDTF">2024-11-26T17:03:00Z</dcterms:created>
  <dcterms:modified xsi:type="dcterms:W3CDTF">2024-12-02T14:47:00Z</dcterms:modified>
</cp:coreProperties>
</file>